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Celtic Flute School of New Zealand, Incorporated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Annual General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Nelson Centre of Musical Arts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12: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pm Sunday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31st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June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Apologies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Previous minutes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Matters arising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Chairperson’s report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Treasurer’s report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Accounts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Resignation / nomination / election of officers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Chair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Treasurer / finance officer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Secretary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Resignation / election of committee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General business</w:t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oHWDnOTLZyDOqImugVMjqZnUbA==">CgMxLjAyCGguZ2pkZ3hzOAByITF3NUFDUjE3WGdEckdVTHlYNERCZUtfNEllNy1DdnBKNA==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Ministry for Primary Industries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